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CEEC7" w14:textId="77777777" w:rsidR="00500232" w:rsidRPr="00A15DEA" w:rsidRDefault="00500232" w:rsidP="0064786D">
      <w:pPr>
        <w:spacing w:line="360" w:lineRule="auto"/>
        <w:ind w:left="720" w:right="-421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</w:t>
      </w:r>
      <w:r w:rsidR="00995564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- Comisión de Tributos Nacionales</w:t>
      </w:r>
    </w:p>
    <w:p w14:paraId="5E411C10" w14:textId="77777777" w:rsidR="00500232" w:rsidRPr="00A15DEA" w:rsidRDefault="00655352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153284">
        <w:rPr>
          <w:rFonts w:cstheme="minorHAnsi"/>
          <w:b/>
          <w:sz w:val="28"/>
          <w:szCs w:val="28"/>
          <w:lang w:val="es-AR"/>
        </w:rPr>
        <w:t>2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153284">
        <w:rPr>
          <w:rFonts w:cstheme="minorHAnsi"/>
          <w:b/>
          <w:sz w:val="28"/>
          <w:szCs w:val="28"/>
          <w:lang w:val="es-AR"/>
        </w:rPr>
        <w:t>6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0B61BE">
        <w:rPr>
          <w:rFonts w:cstheme="minorHAnsi"/>
          <w:b/>
          <w:sz w:val="28"/>
          <w:szCs w:val="28"/>
          <w:lang w:val="es-AR"/>
        </w:rPr>
        <w:t>5</w:t>
      </w:r>
    </w:p>
    <w:p w14:paraId="02DE6E81" w14:textId="77777777" w:rsidR="002356C3" w:rsidRPr="00902695" w:rsidRDefault="00902695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902695">
        <w:rPr>
          <w:rFonts w:cstheme="minorHAnsi"/>
          <w:b/>
          <w:sz w:val="28"/>
          <w:szCs w:val="28"/>
          <w:lang w:val="es-AR"/>
        </w:rPr>
        <w:t xml:space="preserve">Modalidad </w:t>
      </w:r>
      <w:r w:rsidR="00FD56CC">
        <w:rPr>
          <w:rFonts w:cstheme="minorHAnsi"/>
          <w:b/>
          <w:sz w:val="28"/>
          <w:szCs w:val="28"/>
          <w:lang w:val="es-AR"/>
        </w:rPr>
        <w:t>Virtual</w:t>
      </w:r>
    </w:p>
    <w:p w14:paraId="2A41F26D" w14:textId="77777777" w:rsidR="00902695" w:rsidRDefault="00902695" w:rsidP="0064786D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</w:p>
    <w:p w14:paraId="3EFE15D8" w14:textId="77777777" w:rsidR="00995564" w:rsidRPr="00A15DEA" w:rsidRDefault="00995564" w:rsidP="0064786D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</w:p>
    <w:p w14:paraId="3498CC92" w14:textId="77777777" w:rsidR="00500232" w:rsidRPr="00A15DEA" w:rsidRDefault="00500232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1C6FD5">
        <w:rPr>
          <w:rFonts w:cstheme="minorHAnsi"/>
          <w:b/>
          <w:sz w:val="28"/>
          <w:szCs w:val="28"/>
          <w:lang w:val="es-AR"/>
        </w:rPr>
        <w:t>, Gabriela Buratti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64ECD35B" w14:textId="77777777" w:rsidR="00500232" w:rsidRPr="00A15DEA" w:rsidRDefault="00500232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6C752D7C" w14:textId="77777777" w:rsidR="00C31159" w:rsidRDefault="00C31159" w:rsidP="0064786D">
      <w:pPr>
        <w:ind w:right="-421"/>
        <w:jc w:val="center"/>
        <w:rPr>
          <w:rFonts w:cstheme="minorHAnsi"/>
          <w:b/>
          <w:lang w:val="es-AR"/>
        </w:rPr>
      </w:pPr>
    </w:p>
    <w:p w14:paraId="665EEFAC" w14:textId="77777777" w:rsidR="00995564" w:rsidRDefault="00995564" w:rsidP="0064786D">
      <w:pPr>
        <w:ind w:right="-421"/>
        <w:jc w:val="center"/>
        <w:rPr>
          <w:rFonts w:cstheme="minorHAnsi"/>
          <w:b/>
          <w:lang w:val="es-AR"/>
        </w:rPr>
      </w:pPr>
    </w:p>
    <w:p w14:paraId="631D7C9D" w14:textId="77777777" w:rsidR="00C31159" w:rsidRPr="000B61BE" w:rsidRDefault="00C31159" w:rsidP="0064786D">
      <w:pPr>
        <w:ind w:right="-421"/>
        <w:jc w:val="center"/>
        <w:rPr>
          <w:rFonts w:cstheme="minorHAnsi"/>
          <w:bCs/>
          <w:lang w:val="es-AR"/>
        </w:rPr>
      </w:pPr>
    </w:p>
    <w:p w14:paraId="7D4278C9" w14:textId="77777777" w:rsidR="002356C3" w:rsidRPr="0064786D" w:rsidRDefault="001C6FD5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 w:rsidRPr="0064786D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Actualidad y Legislación</w:t>
      </w:r>
    </w:p>
    <w:p w14:paraId="7A20AA7B" w14:textId="77777777" w:rsidR="00995564" w:rsidRPr="0064786D" w:rsidRDefault="00995564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76910C28" w14:textId="22922860" w:rsidR="00153284" w:rsidRDefault="004C4F7C" w:rsidP="00ED7288">
      <w:pPr>
        <w:pStyle w:val="NormalWeb"/>
        <w:numPr>
          <w:ilvl w:val="0"/>
          <w:numId w:val="2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Impuesto a los débitos y créditos </w:t>
      </w:r>
      <w:r w:rsidR="0018768B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en cuentas </w:t>
      </w: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bancari</w:t>
      </w:r>
      <w:r w:rsidR="0018768B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as</w:t>
      </w: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. </w:t>
      </w:r>
      <w:r w:rsidR="0018768B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Alícuota reducida para cuentas de empresas que operen sistemas de transferencias electrónicas por Internet. Alcance del beneficio. </w:t>
      </w: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Dictamen Dirección Nacional de Impuestos del </w:t>
      </w:r>
      <w:r w:rsidR="006E38A5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12</w:t>
      </w: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-</w:t>
      </w:r>
      <w:r w:rsidR="006E38A5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02</w:t>
      </w: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-2</w:t>
      </w:r>
      <w:r w:rsidR="006E38A5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5</w:t>
      </w:r>
      <w:r w:rsidR="00153284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 (Pendiente de la reunión anterior).</w:t>
      </w:r>
      <w:r w:rsidR="00043B88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5C23ABE9" w14:textId="77777777" w:rsidR="00AA04BC" w:rsidRPr="00AA04BC" w:rsidRDefault="00AA04BC" w:rsidP="00AA04BC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358C5F01" w14:textId="5F86FCF5" w:rsidR="00153284" w:rsidRPr="0064786D" w:rsidRDefault="00153284" w:rsidP="0064786D">
      <w:pPr>
        <w:pStyle w:val="NormalWeb"/>
        <w:numPr>
          <w:ilvl w:val="0"/>
          <w:numId w:val="2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64786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a las ganancias y REIBP. Dictamen de la Dirección Nacional de Impuestos del 21-05-25.</w:t>
      </w:r>
      <w:r w:rsidR="0091556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65258898" w14:textId="77777777" w:rsidR="006F7322" w:rsidRPr="0064786D" w:rsidRDefault="006F7322" w:rsidP="0064786D">
      <w:pPr>
        <w:pStyle w:val="NormalWeb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6BF62A40" w14:textId="58A331BF" w:rsidR="00641CE7" w:rsidRPr="00043B88" w:rsidRDefault="00043B88" w:rsidP="00043B88">
      <w:pPr>
        <w:pStyle w:val="NormalWeb"/>
        <w:numPr>
          <w:ilvl w:val="0"/>
          <w:numId w:val="20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Decreto 353/25. Disposiciones tendientes a facilitar la inversión en bienes y RG emitidas por ARCA con ese fin. </w:t>
      </w:r>
    </w:p>
    <w:p w14:paraId="5DBFBCD4" w14:textId="77777777" w:rsidR="00995564" w:rsidRDefault="00995564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39D1D74D" w14:textId="77777777" w:rsidR="00995564" w:rsidRPr="0064786D" w:rsidRDefault="00995564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423D73A6" w14:textId="77777777" w:rsidR="001C6FD5" w:rsidRPr="0064786D" w:rsidRDefault="001C6FD5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 w:rsidRPr="0064786D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Jurisprudencia</w:t>
      </w:r>
      <w:r w:rsidR="000B61BE" w:rsidRPr="0064786D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 Judicial y Administrativa</w:t>
      </w:r>
    </w:p>
    <w:p w14:paraId="4A8A7681" w14:textId="77777777" w:rsidR="00995564" w:rsidRPr="0064786D" w:rsidRDefault="00995564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1EC2FAD6" w14:textId="77777777" w:rsidR="00AA04BC" w:rsidRDefault="006B1509" w:rsidP="00367E4B">
      <w:pPr>
        <w:pStyle w:val="NormalWeb"/>
        <w:numPr>
          <w:ilvl w:val="0"/>
          <w:numId w:val="2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“Recurso de hecho deducido por la demandada en la causa </w:t>
      </w:r>
      <w:proofErr w:type="spellStart"/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Cartellone</w:t>
      </w:r>
      <w:proofErr w:type="spellEnd"/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, José c/ AFIP s/ amparo ley 16.986”, CSJN, 12.03.25. Beneficios Cumplidores. </w:t>
      </w:r>
      <w:r w:rsidR="00153284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(</w:t>
      </w:r>
      <w:r w:rsidR="008761CD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</w:t>
      </w:r>
      <w:r w:rsidR="00153284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endiente de la reunión anterior)</w:t>
      </w:r>
      <w:r w:rsidR="0064786D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</w:p>
    <w:p w14:paraId="41AED4F4" w14:textId="77777777" w:rsidR="00AA04BC" w:rsidRDefault="00AA04BC" w:rsidP="00AA04BC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1AA9AE88" w14:textId="77777777" w:rsidR="00AA04BC" w:rsidRDefault="006B1509" w:rsidP="00E30E33">
      <w:pPr>
        <w:pStyle w:val="NormalWeb"/>
        <w:numPr>
          <w:ilvl w:val="0"/>
          <w:numId w:val="2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“Recurso queja </w:t>
      </w:r>
      <w:proofErr w:type="spellStart"/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N°</w:t>
      </w:r>
      <w:proofErr w:type="spellEnd"/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1 Compañía General de Combustibles SA”, Dictamen Procuración, 9-12-24. Beneficios cumplidores. </w:t>
      </w:r>
      <w:r w:rsidR="00153284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(</w:t>
      </w:r>
      <w:r w:rsidR="008761CD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</w:t>
      </w:r>
      <w:r w:rsidR="00153284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endiente de la reunión anterior).</w:t>
      </w:r>
      <w:r w:rsidR="00043B88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7A99609C" w14:textId="77777777" w:rsidR="00AA04BC" w:rsidRDefault="00AA04BC" w:rsidP="00AA04BC">
      <w:pPr>
        <w:pStyle w:val="Prrafodelista"/>
        <w:rPr>
          <w:rFonts w:cstheme="minorHAnsi"/>
          <w:bCs/>
          <w:color w:val="000000"/>
          <w:bdr w:val="none" w:sz="0" w:space="0" w:color="auto" w:frame="1"/>
          <w:lang w:val="es-AR"/>
        </w:rPr>
      </w:pPr>
    </w:p>
    <w:p w14:paraId="3AD767F2" w14:textId="77777777" w:rsidR="00AA04BC" w:rsidRDefault="004C4F7C" w:rsidP="00AA04BC">
      <w:pPr>
        <w:pStyle w:val="NormalWeb"/>
        <w:numPr>
          <w:ilvl w:val="0"/>
          <w:numId w:val="2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“</w:t>
      </w:r>
      <w:proofErr w:type="spellStart"/>
      <w:r w:rsidR="006E38A5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Waingarten</w:t>
      </w:r>
      <w:proofErr w:type="spellEnd"/>
      <w:r w:rsidR="006E38A5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, Bernardo”</w:t>
      </w:r>
      <w:r w:rsidR="006E38A5" w:rsidRPr="00AA04BC">
        <w:rPr>
          <w:lang w:val="es-AR"/>
        </w:rPr>
        <w:t xml:space="preserve"> </w:t>
      </w:r>
      <w:r w:rsidR="006E38A5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Expediente Electrónico EX-2023-150110674- -APN-SGAI#TFN, TFN, sala D, 5/2/2025. Impuesto sobre los Bienes Personales. Trust del exterior.</w:t>
      </w:r>
      <w:r w:rsidR="00153284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(</w:t>
      </w:r>
      <w:r w:rsidR="008761CD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</w:t>
      </w:r>
      <w:r w:rsidR="00153284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endiente de la reunión anterior).</w:t>
      </w:r>
    </w:p>
    <w:p w14:paraId="74BB9257" w14:textId="77777777" w:rsidR="00AA04BC" w:rsidRDefault="00AA04BC" w:rsidP="00AA04BC">
      <w:pPr>
        <w:pStyle w:val="Prrafodelista"/>
        <w:rPr>
          <w:rFonts w:cstheme="minorHAnsi"/>
          <w:bCs/>
          <w:color w:val="000000"/>
          <w:bdr w:val="none" w:sz="0" w:space="0" w:color="auto" w:frame="1"/>
          <w:lang w:val="es-AR"/>
        </w:rPr>
      </w:pPr>
    </w:p>
    <w:p w14:paraId="11F5455D" w14:textId="1A8246B0" w:rsidR="006F7322" w:rsidRPr="00AA04BC" w:rsidRDefault="006E38A5" w:rsidP="00AA04BC">
      <w:pPr>
        <w:pStyle w:val="NormalWeb"/>
        <w:numPr>
          <w:ilvl w:val="0"/>
          <w:numId w:val="2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“Cosméticos Avon”</w:t>
      </w:r>
      <w:r w:rsidRPr="00AA04BC">
        <w:rPr>
          <w:lang w:val="es-AR"/>
        </w:rPr>
        <w:t xml:space="preserve"> </w:t>
      </w:r>
      <w:proofErr w:type="spellStart"/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Expte</w:t>
      </w:r>
      <w:proofErr w:type="spellEnd"/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. N° 43.100-I y sus acumulados </w:t>
      </w:r>
      <w:proofErr w:type="spellStart"/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Expte</w:t>
      </w:r>
      <w:proofErr w:type="spellEnd"/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 N° 44.494-I y N° EX-2022-131365454- -APNSGAI#TFN, Sala A, 20-12-24, Impuesto sobres los Bienes Personales -Acciones y Participaciones</w:t>
      </w:r>
      <w:r w:rsidR="006F7322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-. Responsabilidad sustituta de accionista sociedad española ETVE.</w:t>
      </w:r>
      <w:r w:rsidR="008761CD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  <w:r w:rsidR="00153284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(Pendiente de la reunión anterior).</w:t>
      </w:r>
      <w:r w:rsidR="00043B88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  <w:r w:rsid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Comentarios a cargo de </w:t>
      </w:r>
      <w:r w:rsidR="008D7B9F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Fernando García. </w:t>
      </w:r>
    </w:p>
    <w:p w14:paraId="0972BD68" w14:textId="77777777" w:rsidR="00043B88" w:rsidRPr="0064786D" w:rsidRDefault="00043B88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4A850324" w14:textId="2C4C841D" w:rsidR="00995564" w:rsidRDefault="00043B88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043B8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5.</w:t>
      </w: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ab/>
      </w:r>
      <w:r w:rsidR="00641CE7" w:rsidRPr="0064786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“</w:t>
      </w:r>
      <w:proofErr w:type="spellStart"/>
      <w:r w:rsidR="00641CE7" w:rsidRPr="0064786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Yege</w:t>
      </w:r>
      <w:proofErr w:type="spellEnd"/>
      <w:r w:rsidR="00641CE7" w:rsidRPr="0064786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, Juan Martín Amado”. </w:t>
      </w:r>
      <w:proofErr w:type="spellStart"/>
      <w:r w:rsidR="00641CE7" w:rsidRPr="0064786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Expte</w:t>
      </w:r>
      <w:proofErr w:type="spellEnd"/>
      <w:r w:rsidR="00641CE7" w:rsidRPr="0064786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. </w:t>
      </w:r>
      <w:r w:rsidR="008761C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N</w:t>
      </w:r>
      <w:r w:rsidR="00B9259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ro. 56969/2022, CAF, S</w:t>
      </w:r>
      <w:r w:rsidR="00641CE7" w:rsidRPr="0064786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ala III, 8-4-25. Impuesto sobre los Bienes Personales. Pérdida de la residencia fiscal.</w:t>
      </w:r>
      <w:r w:rsidR="00153284" w:rsidRPr="0064786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(Pendiente de la reunión anterior).</w:t>
      </w:r>
    </w:p>
    <w:p w14:paraId="6BD651A5" w14:textId="77777777" w:rsidR="00043B88" w:rsidRDefault="00043B88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1807116B" w14:textId="3C03C871" w:rsidR="00043B88" w:rsidRDefault="00043B88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lastRenderedPageBreak/>
        <w:t xml:space="preserve">6. </w:t>
      </w:r>
      <w:r w:rsidR="00D6089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“</w:t>
      </w:r>
      <w:proofErr w:type="spellStart"/>
      <w:r w:rsidR="00D6089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Nabarri</w:t>
      </w:r>
      <w:proofErr w:type="spellEnd"/>
      <w:r w:rsidR="00D6089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, José Ernesto”, TFN Sala A, 17/3/25.</w:t>
      </w:r>
      <w:r w:rsidR="001F52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  <w:r w:rsidR="00D6089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Impuesto a las ganancias. Venta de inmuebles rurales. </w:t>
      </w:r>
    </w:p>
    <w:p w14:paraId="6233EDB1" w14:textId="77777777" w:rsidR="001F5222" w:rsidRDefault="001F5222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7D328580" w14:textId="1F3C5D1F" w:rsidR="001F5222" w:rsidRDefault="001F5222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7.”Gelfman Rubén E. C/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Diaverum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Argentina SA”, Cámara Nacional de Apelaciones del Trabajo, Sala V, 26/11/24.  Suma cobrada en acuerdo homologado por extinción de la  relación laboral. </w:t>
      </w:r>
      <w:r w:rsidR="0091556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Se plantea inc</w:t>
      </w: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onstitucionalidad</w:t>
      </w:r>
      <w:r w:rsidR="0091556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de la modificación del </w:t>
      </w: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artículo 82 de la LIG </w:t>
      </w:r>
      <w:r w:rsidR="0091556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</w:t>
      </w: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or la Ley 27.</w:t>
      </w:r>
      <w:r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430</w:t>
      </w:r>
      <w:r w:rsidR="00AA04BC" w:rsidRPr="00AA04B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</w:p>
    <w:p w14:paraId="1638766A" w14:textId="77777777" w:rsidR="008859A0" w:rsidRPr="00785F2D" w:rsidRDefault="008859A0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bdr w:val="none" w:sz="0" w:space="0" w:color="auto" w:frame="1"/>
          <w:lang w:val="es-AR"/>
        </w:rPr>
      </w:pPr>
    </w:p>
    <w:p w14:paraId="0F237E2D" w14:textId="01B9B57B" w:rsidR="00B92598" w:rsidRPr="00785F2D" w:rsidRDefault="00785F2D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bdr w:val="none" w:sz="0" w:space="0" w:color="auto" w:frame="1"/>
          <w:lang w:val="es-AR"/>
        </w:rPr>
      </w:pPr>
      <w:r w:rsidRPr="00785F2D">
        <w:rPr>
          <w:rFonts w:asciiTheme="minorHAnsi" w:hAnsiTheme="minorHAnsi" w:cstheme="minorHAnsi"/>
          <w:bCs/>
          <w:bdr w:val="none" w:sz="0" w:space="0" w:color="auto" w:frame="1"/>
          <w:lang w:val="es-AR"/>
        </w:rPr>
        <w:t xml:space="preserve">8. “Quintana Rubén Omar”, Juzgado Federal en lo Civil, Comercial y CA de Lomas de Zamora Nro. 23, </w:t>
      </w:r>
      <w:r w:rsidR="008D7B9F">
        <w:rPr>
          <w:rFonts w:asciiTheme="minorHAnsi" w:hAnsiTheme="minorHAnsi" w:cstheme="minorHAnsi"/>
          <w:bCs/>
          <w:bdr w:val="none" w:sz="0" w:space="0" w:color="auto" w:frame="1"/>
          <w:lang w:val="es-AR"/>
        </w:rPr>
        <w:t>25</w:t>
      </w:r>
      <w:r w:rsidRPr="00785F2D">
        <w:rPr>
          <w:rFonts w:asciiTheme="minorHAnsi" w:hAnsiTheme="minorHAnsi" w:cstheme="minorHAnsi"/>
          <w:bCs/>
          <w:bdr w:val="none" w:sz="0" w:space="0" w:color="auto" w:frame="1"/>
          <w:lang w:val="es-AR"/>
        </w:rPr>
        <w:t xml:space="preserve">/10/24.  </w:t>
      </w:r>
      <w:r w:rsidR="008D7B9F">
        <w:rPr>
          <w:rFonts w:asciiTheme="minorHAnsi" w:hAnsiTheme="minorHAnsi" w:cstheme="minorHAnsi"/>
          <w:bCs/>
          <w:bdr w:val="none" w:sz="0" w:space="0" w:color="auto" w:frame="1"/>
          <w:lang w:val="es-AR"/>
        </w:rPr>
        <w:t>Indemnización de un</w:t>
      </w:r>
      <w:r w:rsidRPr="00785F2D">
        <w:rPr>
          <w:rFonts w:asciiTheme="minorHAnsi" w:hAnsiTheme="minorHAnsi" w:cstheme="minorHAnsi"/>
          <w:bCs/>
          <w:bdr w:val="none" w:sz="0" w:space="0" w:color="auto" w:frame="1"/>
          <w:lang w:val="es-AR"/>
        </w:rPr>
        <w:t xml:space="preserve"> Director General en acuerdo homologado por extinción de </w:t>
      </w:r>
      <w:proofErr w:type="gramStart"/>
      <w:r w:rsidRPr="00785F2D">
        <w:rPr>
          <w:rFonts w:asciiTheme="minorHAnsi" w:hAnsiTheme="minorHAnsi" w:cstheme="minorHAnsi"/>
          <w:bCs/>
          <w:bdr w:val="none" w:sz="0" w:space="0" w:color="auto" w:frame="1"/>
          <w:lang w:val="es-AR"/>
        </w:rPr>
        <w:t>la  relación</w:t>
      </w:r>
      <w:proofErr w:type="gramEnd"/>
      <w:r w:rsidRPr="00785F2D">
        <w:rPr>
          <w:rFonts w:asciiTheme="minorHAnsi" w:hAnsiTheme="minorHAnsi" w:cstheme="minorHAnsi"/>
          <w:bCs/>
          <w:bdr w:val="none" w:sz="0" w:space="0" w:color="auto" w:frame="1"/>
          <w:lang w:val="es-AR"/>
        </w:rPr>
        <w:t xml:space="preserve"> laboral</w:t>
      </w:r>
      <w:r w:rsidR="008D7B9F">
        <w:rPr>
          <w:rFonts w:asciiTheme="minorHAnsi" w:hAnsiTheme="minorHAnsi" w:cstheme="minorHAnsi"/>
          <w:bCs/>
          <w:bdr w:val="none" w:sz="0" w:space="0" w:color="auto" w:frame="1"/>
          <w:lang w:val="es-AR"/>
        </w:rPr>
        <w:t xml:space="preserve"> post reforma Ley 27.430</w:t>
      </w:r>
      <w:r w:rsidRPr="00785F2D">
        <w:rPr>
          <w:rFonts w:asciiTheme="minorHAnsi" w:hAnsiTheme="minorHAnsi" w:cstheme="minorHAnsi"/>
          <w:bCs/>
          <w:bdr w:val="none" w:sz="0" w:space="0" w:color="auto" w:frame="1"/>
          <w:lang w:val="es-AR"/>
        </w:rPr>
        <w:t>.</w:t>
      </w:r>
    </w:p>
    <w:p w14:paraId="5FAC4AA1" w14:textId="77777777" w:rsidR="00785F2D" w:rsidRDefault="00785F2D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6FB7EADC" w14:textId="380B294E" w:rsidR="00B92598" w:rsidRPr="0064786D" w:rsidRDefault="00785F2D" w:rsidP="00043B88">
      <w:pPr>
        <w:pStyle w:val="NormalWeb"/>
        <w:shd w:val="clear" w:color="auto" w:fill="FFFFFF"/>
        <w:tabs>
          <w:tab w:val="left" w:pos="284"/>
        </w:tabs>
        <w:spacing w:before="0" w:beforeAutospacing="0" w:after="0" w:afterAutospacing="0"/>
        <w:ind w:left="284" w:right="-421" w:hanging="284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9</w:t>
      </w:r>
      <w:r w:rsidR="00B9259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 “</w:t>
      </w:r>
      <w:proofErr w:type="spellStart"/>
      <w:r w:rsidR="00B9259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Oría</w:t>
      </w:r>
      <w:proofErr w:type="spellEnd"/>
      <w:r w:rsidR="00B9259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Ignacio Miguel”, CNACAF Sala IV, 22/5/25. Impuesto a las ganancias. Deducción cargas de familia. Prueba.</w:t>
      </w:r>
    </w:p>
    <w:p w14:paraId="7DB9FB18" w14:textId="77777777" w:rsidR="00995564" w:rsidRPr="0064786D" w:rsidRDefault="00995564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bookmarkStart w:id="0" w:name="_GoBack"/>
      <w:bookmarkEnd w:id="0"/>
    </w:p>
    <w:sectPr w:rsidR="00995564" w:rsidRPr="0064786D" w:rsidSect="00BC4AA6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484D68"/>
    <w:multiLevelType w:val="hybridMultilevel"/>
    <w:tmpl w:val="BA9684C4"/>
    <w:lvl w:ilvl="0" w:tplc="E53AA56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8151F"/>
    <w:multiLevelType w:val="hybridMultilevel"/>
    <w:tmpl w:val="F4C82854"/>
    <w:lvl w:ilvl="0" w:tplc="72EE7F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5445C"/>
    <w:multiLevelType w:val="hybridMultilevel"/>
    <w:tmpl w:val="72AEEE0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9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066501"/>
    <w:multiLevelType w:val="hybridMultilevel"/>
    <w:tmpl w:val="4A8090AC"/>
    <w:lvl w:ilvl="0" w:tplc="AA8E931A">
      <w:start w:val="1"/>
      <w:numFmt w:val="decimal"/>
      <w:lvlText w:val="%1."/>
      <w:lvlJc w:val="left"/>
      <w:pPr>
        <w:ind w:left="790" w:hanging="430"/>
      </w:pPr>
      <w:rPr>
        <w:rFonts w:asciiTheme="minorHAnsi" w:eastAsia="Times New Roman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2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67637"/>
    <w:multiLevelType w:val="hybridMultilevel"/>
    <w:tmpl w:val="F6A232FC"/>
    <w:lvl w:ilvl="0" w:tplc="58CAD828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54C1F"/>
    <w:multiLevelType w:val="hybridMultilevel"/>
    <w:tmpl w:val="4FFE32B0"/>
    <w:lvl w:ilvl="0" w:tplc="53184C3E">
      <w:start w:val="1"/>
      <w:numFmt w:val="decimal"/>
      <w:lvlText w:val="%1."/>
      <w:lvlJc w:val="left"/>
      <w:pPr>
        <w:ind w:left="1440" w:hanging="65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70" w:hanging="360"/>
      </w:pPr>
    </w:lvl>
    <w:lvl w:ilvl="2" w:tplc="2C0A001B" w:tentative="1">
      <w:start w:val="1"/>
      <w:numFmt w:val="lowerRoman"/>
      <w:lvlText w:val="%3."/>
      <w:lvlJc w:val="right"/>
      <w:pPr>
        <w:ind w:left="2590" w:hanging="180"/>
      </w:pPr>
    </w:lvl>
    <w:lvl w:ilvl="3" w:tplc="2C0A000F" w:tentative="1">
      <w:start w:val="1"/>
      <w:numFmt w:val="decimal"/>
      <w:lvlText w:val="%4."/>
      <w:lvlJc w:val="left"/>
      <w:pPr>
        <w:ind w:left="3310" w:hanging="360"/>
      </w:pPr>
    </w:lvl>
    <w:lvl w:ilvl="4" w:tplc="2C0A0019" w:tentative="1">
      <w:start w:val="1"/>
      <w:numFmt w:val="lowerLetter"/>
      <w:lvlText w:val="%5."/>
      <w:lvlJc w:val="left"/>
      <w:pPr>
        <w:ind w:left="4030" w:hanging="360"/>
      </w:pPr>
    </w:lvl>
    <w:lvl w:ilvl="5" w:tplc="2C0A001B" w:tentative="1">
      <w:start w:val="1"/>
      <w:numFmt w:val="lowerRoman"/>
      <w:lvlText w:val="%6."/>
      <w:lvlJc w:val="right"/>
      <w:pPr>
        <w:ind w:left="4750" w:hanging="180"/>
      </w:pPr>
    </w:lvl>
    <w:lvl w:ilvl="6" w:tplc="2C0A000F" w:tentative="1">
      <w:start w:val="1"/>
      <w:numFmt w:val="decimal"/>
      <w:lvlText w:val="%7."/>
      <w:lvlJc w:val="left"/>
      <w:pPr>
        <w:ind w:left="5470" w:hanging="360"/>
      </w:pPr>
    </w:lvl>
    <w:lvl w:ilvl="7" w:tplc="2C0A0019" w:tentative="1">
      <w:start w:val="1"/>
      <w:numFmt w:val="lowerLetter"/>
      <w:lvlText w:val="%8."/>
      <w:lvlJc w:val="left"/>
      <w:pPr>
        <w:ind w:left="6190" w:hanging="360"/>
      </w:pPr>
    </w:lvl>
    <w:lvl w:ilvl="8" w:tplc="2C0A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6" w15:restartNumberingAfterBreak="0">
    <w:nsid w:val="63102B4F"/>
    <w:multiLevelType w:val="hybridMultilevel"/>
    <w:tmpl w:val="956A8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8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9" w15:restartNumberingAfterBreak="0">
    <w:nsid w:val="72365777"/>
    <w:multiLevelType w:val="hybridMultilevel"/>
    <w:tmpl w:val="15C2017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DF5210"/>
    <w:multiLevelType w:val="hybridMultilevel"/>
    <w:tmpl w:val="1BF268B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8"/>
  </w:num>
  <w:num w:numId="5">
    <w:abstractNumId w:val="9"/>
  </w:num>
  <w:num w:numId="6">
    <w:abstractNumId w:val="2"/>
  </w:num>
  <w:num w:numId="7">
    <w:abstractNumId w:val="0"/>
  </w:num>
  <w:num w:numId="8">
    <w:abstractNumId w:val="4"/>
  </w:num>
  <w:num w:numId="9">
    <w:abstractNumId w:val="12"/>
  </w:num>
  <w:num w:numId="10">
    <w:abstractNumId w:val="11"/>
  </w:num>
  <w:num w:numId="11">
    <w:abstractNumId w:val="17"/>
  </w:num>
  <w:num w:numId="12">
    <w:abstractNumId w:val="13"/>
  </w:num>
  <w:num w:numId="13">
    <w:abstractNumId w:val="14"/>
  </w:num>
  <w:num w:numId="14">
    <w:abstractNumId w:val="15"/>
  </w:num>
  <w:num w:numId="15">
    <w:abstractNumId w:val="20"/>
  </w:num>
  <w:num w:numId="16">
    <w:abstractNumId w:val="1"/>
  </w:num>
  <w:num w:numId="17">
    <w:abstractNumId w:val="3"/>
  </w:num>
  <w:num w:numId="18">
    <w:abstractNumId w:val="7"/>
  </w:num>
  <w:num w:numId="19">
    <w:abstractNumId w:val="10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06015"/>
    <w:rsid w:val="0001161F"/>
    <w:rsid w:val="000120E9"/>
    <w:rsid w:val="00012180"/>
    <w:rsid w:val="00034306"/>
    <w:rsid w:val="00035ECA"/>
    <w:rsid w:val="00043B88"/>
    <w:rsid w:val="0007071D"/>
    <w:rsid w:val="00097B8E"/>
    <w:rsid w:val="000A082F"/>
    <w:rsid w:val="000B2B3F"/>
    <w:rsid w:val="000B61BE"/>
    <w:rsid w:val="000C1091"/>
    <w:rsid w:val="000C5C48"/>
    <w:rsid w:val="00100522"/>
    <w:rsid w:val="001100DE"/>
    <w:rsid w:val="001141A3"/>
    <w:rsid w:val="001358AF"/>
    <w:rsid w:val="00142127"/>
    <w:rsid w:val="00153284"/>
    <w:rsid w:val="00166570"/>
    <w:rsid w:val="00173536"/>
    <w:rsid w:val="0018768B"/>
    <w:rsid w:val="001923FF"/>
    <w:rsid w:val="001A26F4"/>
    <w:rsid w:val="001A4F50"/>
    <w:rsid w:val="001B105E"/>
    <w:rsid w:val="001B5FFF"/>
    <w:rsid w:val="001C6FD5"/>
    <w:rsid w:val="001D6FA3"/>
    <w:rsid w:val="001D7710"/>
    <w:rsid w:val="001E1C51"/>
    <w:rsid w:val="001E4C99"/>
    <w:rsid w:val="001F5222"/>
    <w:rsid w:val="001F7D67"/>
    <w:rsid w:val="00200C13"/>
    <w:rsid w:val="002110B3"/>
    <w:rsid w:val="00221BD6"/>
    <w:rsid w:val="00233462"/>
    <w:rsid w:val="002356C3"/>
    <w:rsid w:val="0024531C"/>
    <w:rsid w:val="00260E1F"/>
    <w:rsid w:val="002671B4"/>
    <w:rsid w:val="002A2A8E"/>
    <w:rsid w:val="002C3324"/>
    <w:rsid w:val="002F5440"/>
    <w:rsid w:val="002F5B9D"/>
    <w:rsid w:val="0036244A"/>
    <w:rsid w:val="003A3981"/>
    <w:rsid w:val="003A6AC1"/>
    <w:rsid w:val="003C2F2D"/>
    <w:rsid w:val="003F5B4D"/>
    <w:rsid w:val="0040396A"/>
    <w:rsid w:val="00455B68"/>
    <w:rsid w:val="00461B3E"/>
    <w:rsid w:val="004B4BF6"/>
    <w:rsid w:val="004C4F7C"/>
    <w:rsid w:val="004C7323"/>
    <w:rsid w:val="00500232"/>
    <w:rsid w:val="00500500"/>
    <w:rsid w:val="00504F0E"/>
    <w:rsid w:val="00513D44"/>
    <w:rsid w:val="0052275A"/>
    <w:rsid w:val="0054325E"/>
    <w:rsid w:val="00554735"/>
    <w:rsid w:val="005A48CB"/>
    <w:rsid w:val="005A5E3F"/>
    <w:rsid w:val="005B0BC3"/>
    <w:rsid w:val="005F1F67"/>
    <w:rsid w:val="0060451C"/>
    <w:rsid w:val="006257C0"/>
    <w:rsid w:val="00641CE7"/>
    <w:rsid w:val="00644AA8"/>
    <w:rsid w:val="0064786D"/>
    <w:rsid w:val="00655352"/>
    <w:rsid w:val="0069580A"/>
    <w:rsid w:val="006B1509"/>
    <w:rsid w:val="006B1B50"/>
    <w:rsid w:val="006E38A5"/>
    <w:rsid w:val="006F7322"/>
    <w:rsid w:val="00704989"/>
    <w:rsid w:val="007059DF"/>
    <w:rsid w:val="00706243"/>
    <w:rsid w:val="00716EEB"/>
    <w:rsid w:val="007225B0"/>
    <w:rsid w:val="00744029"/>
    <w:rsid w:val="00744C7C"/>
    <w:rsid w:val="00744D27"/>
    <w:rsid w:val="00766194"/>
    <w:rsid w:val="00785F2D"/>
    <w:rsid w:val="007A1BA5"/>
    <w:rsid w:val="007D5996"/>
    <w:rsid w:val="007F5AA1"/>
    <w:rsid w:val="008761CD"/>
    <w:rsid w:val="008779B7"/>
    <w:rsid w:val="00881E94"/>
    <w:rsid w:val="008859A0"/>
    <w:rsid w:val="0089025E"/>
    <w:rsid w:val="008B0979"/>
    <w:rsid w:val="008D7B9F"/>
    <w:rsid w:val="008E2017"/>
    <w:rsid w:val="00902695"/>
    <w:rsid w:val="00911614"/>
    <w:rsid w:val="00912DEF"/>
    <w:rsid w:val="00915562"/>
    <w:rsid w:val="0094144E"/>
    <w:rsid w:val="0098390C"/>
    <w:rsid w:val="00995564"/>
    <w:rsid w:val="009B2D74"/>
    <w:rsid w:val="009F1DD4"/>
    <w:rsid w:val="00A06A67"/>
    <w:rsid w:val="00A15992"/>
    <w:rsid w:val="00A15DEA"/>
    <w:rsid w:val="00A566D7"/>
    <w:rsid w:val="00A842C5"/>
    <w:rsid w:val="00A9731B"/>
    <w:rsid w:val="00AA04BC"/>
    <w:rsid w:val="00AA7D7D"/>
    <w:rsid w:val="00AC1D81"/>
    <w:rsid w:val="00AC22E1"/>
    <w:rsid w:val="00B47A01"/>
    <w:rsid w:val="00B5010E"/>
    <w:rsid w:val="00B5450F"/>
    <w:rsid w:val="00B64BDC"/>
    <w:rsid w:val="00B920DB"/>
    <w:rsid w:val="00B92598"/>
    <w:rsid w:val="00BA12DF"/>
    <w:rsid w:val="00BC4AA6"/>
    <w:rsid w:val="00BC50EC"/>
    <w:rsid w:val="00BC5C69"/>
    <w:rsid w:val="00BD1665"/>
    <w:rsid w:val="00BD7AC7"/>
    <w:rsid w:val="00BE6314"/>
    <w:rsid w:val="00C103E4"/>
    <w:rsid w:val="00C12229"/>
    <w:rsid w:val="00C31159"/>
    <w:rsid w:val="00C46AF0"/>
    <w:rsid w:val="00C6374D"/>
    <w:rsid w:val="00C71AE0"/>
    <w:rsid w:val="00C86ACE"/>
    <w:rsid w:val="00CA5C9D"/>
    <w:rsid w:val="00CA6E21"/>
    <w:rsid w:val="00CC6163"/>
    <w:rsid w:val="00CF1C22"/>
    <w:rsid w:val="00CF3605"/>
    <w:rsid w:val="00D30F70"/>
    <w:rsid w:val="00D50B7A"/>
    <w:rsid w:val="00D60898"/>
    <w:rsid w:val="00D808FF"/>
    <w:rsid w:val="00DA56B2"/>
    <w:rsid w:val="00DC2F01"/>
    <w:rsid w:val="00DC7ED2"/>
    <w:rsid w:val="00DD2779"/>
    <w:rsid w:val="00DE72E7"/>
    <w:rsid w:val="00DF663C"/>
    <w:rsid w:val="00E304AA"/>
    <w:rsid w:val="00E32037"/>
    <w:rsid w:val="00E34841"/>
    <w:rsid w:val="00E40CDF"/>
    <w:rsid w:val="00E57D45"/>
    <w:rsid w:val="00E8180A"/>
    <w:rsid w:val="00E93305"/>
    <w:rsid w:val="00EA7267"/>
    <w:rsid w:val="00EE42CA"/>
    <w:rsid w:val="00F17099"/>
    <w:rsid w:val="00F4292B"/>
    <w:rsid w:val="00F47BDE"/>
    <w:rsid w:val="00F7494E"/>
    <w:rsid w:val="00F81799"/>
    <w:rsid w:val="00FB26A3"/>
    <w:rsid w:val="00FB7AAD"/>
    <w:rsid w:val="00FC01CE"/>
    <w:rsid w:val="00FD2CCF"/>
    <w:rsid w:val="00FD56CC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B10BB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F60CC-4619-407F-91EA-0E546289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Gabriela Buratti</cp:lastModifiedBy>
  <cp:revision>2</cp:revision>
  <cp:lastPrinted>2024-04-16T13:55:00Z</cp:lastPrinted>
  <dcterms:created xsi:type="dcterms:W3CDTF">2025-05-27T22:04:00Z</dcterms:created>
  <dcterms:modified xsi:type="dcterms:W3CDTF">2025-05-27T22:04:00Z</dcterms:modified>
</cp:coreProperties>
</file>